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77B9" w14:textId="77777777" w:rsidR="002B7553" w:rsidRDefault="00DF0AD5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 wp14:anchorId="6DDE9437" wp14:editId="0EE90136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AAFB" w14:textId="77777777" w:rsidR="002B7553" w:rsidRDefault="002B7553">
      <w:pPr>
        <w:rPr>
          <w:rFonts w:ascii="Book Antiqua" w:hAnsi="Book Antiqua"/>
          <w:sz w:val="16"/>
          <w:lang w:val="fr-FR"/>
        </w:rPr>
      </w:pPr>
    </w:p>
    <w:p w14:paraId="03F7308F" w14:textId="77777777"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14:paraId="3D0E9B77" w14:textId="77777777"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 w14:paraId="746F02F0" w14:textId="77777777" w:rsidR="002B7553" w:rsidRPr="000009FE" w:rsidRDefault="002B7553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8"/>
          <w:szCs w:val="28"/>
        </w:rPr>
      </w:pPr>
    </w:p>
    <w:p w14:paraId="61D0A1CE" w14:textId="77777777" w:rsidR="002B7553" w:rsidRDefault="00DF0AD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……………………………….</w:t>
      </w:r>
    </w:p>
    <w:p w14:paraId="1BDC35FA" w14:textId="77777777" w:rsidR="002B7553" w:rsidRDefault="00DF0AD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……………………………..</w:t>
      </w:r>
    </w:p>
    <w:p w14:paraId="6A0F7F00" w14:textId="77777777" w:rsidR="002B7553" w:rsidRDefault="00DF0AD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............................................</w:t>
      </w:r>
    </w:p>
    <w:p w14:paraId="6F881244" w14:textId="77777777" w:rsidR="002B7553" w:rsidRDefault="002B7553"/>
    <w:p w14:paraId="5231B0CA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Risultati di apprendimento in termini di Competenze (*)</w:t>
      </w:r>
    </w:p>
    <w:p w14:paraId="57581969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69D3BDCA" w14:textId="77777777" w:rsidR="002B7553" w:rsidRDefault="002B7553"/>
    <w:p w14:paraId="7B24D6C1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Abilità(*)</w:t>
      </w:r>
    </w:p>
    <w:p w14:paraId="4F4FAB4A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14:paraId="3E6B156B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Conoscenze/Contenuti ed Argomenti del programma</w:t>
      </w:r>
    </w:p>
    <w:p w14:paraId="2D21740D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14:paraId="776DE9D1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Scansione temporale dei moduli di apprendimento</w:t>
      </w:r>
    </w:p>
    <w:p w14:paraId="4EAFE1A0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14:paraId="4C6F83C7" w14:textId="77777777" w:rsidR="002B7553" w:rsidRDefault="002B7553">
      <w:pPr>
        <w:ind w:right="113"/>
        <w:jc w:val="both"/>
      </w:pPr>
    </w:p>
    <w:p w14:paraId="6D1F3C29" w14:textId="77777777" w:rsidR="008F35DD" w:rsidRDefault="00DF0AD5" w:rsidP="008F35D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Metodologi</w:t>
      </w:r>
      <w:r w:rsidR="000009FE">
        <w:rPr>
          <w:b/>
        </w:rPr>
        <w:t>e</w:t>
      </w:r>
      <w:r>
        <w:rPr>
          <w:b/>
        </w:rPr>
        <w:t xml:space="preserve">: </w:t>
      </w:r>
      <w:r w:rsidR="000009FE">
        <w:rPr>
          <w:b/>
        </w:rPr>
        <w:t>s</w:t>
      </w:r>
      <w:r>
        <w:rPr>
          <w:b/>
        </w:rPr>
        <w:t>trategie educative, strumenti</w:t>
      </w:r>
      <w:r w:rsidR="000009FE">
        <w:rPr>
          <w:b/>
        </w:rPr>
        <w:t xml:space="preserve">, </w:t>
      </w:r>
      <w:r>
        <w:rPr>
          <w:b/>
        </w:rPr>
        <w:t xml:space="preserve">tecniche </w:t>
      </w:r>
      <w:r w:rsidR="000009FE">
        <w:rPr>
          <w:b/>
        </w:rPr>
        <w:t xml:space="preserve">e tempi </w:t>
      </w:r>
      <w:r>
        <w:rPr>
          <w:b/>
        </w:rPr>
        <w:t>di lavoro, attività di laboratorio</w:t>
      </w:r>
      <w:r w:rsidR="000009FE">
        <w:rPr>
          <w:b/>
        </w:rPr>
        <w:t xml:space="preserve"> (se previste)</w:t>
      </w:r>
      <w:r>
        <w:rPr>
          <w:b/>
        </w:rPr>
        <w:t>, attività di progetto, didattica innovativa attraverso l’uso delle LIM, forme di apprendimento attraverso la didattica laboratoriale, programmazione CLIL (classi V).</w:t>
      </w:r>
      <w:r w:rsidR="008F35DD" w:rsidRPr="008F35DD">
        <w:rPr>
          <w:b/>
        </w:rPr>
        <w:t xml:space="preserve"> </w:t>
      </w:r>
      <w:r w:rsidR="008F35DD">
        <w:rPr>
          <w:b/>
        </w:rPr>
        <w:t xml:space="preserve">Indicazioni relative alla gestione di eventuali forme d’apprendimento erogate mediante la DDI. </w:t>
      </w:r>
    </w:p>
    <w:p w14:paraId="6253ED0D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48B9E4D0" w14:textId="77777777" w:rsidR="002B7553" w:rsidRDefault="002B7553"/>
    <w:p w14:paraId="1E8BD848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metodologie per la valutazione degli apprendimenti.</w:t>
      </w:r>
    </w:p>
    <w:p w14:paraId="75F4F807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51DC1562" w14:textId="77777777" w:rsidR="002B7553" w:rsidRDefault="002B7553"/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0009FE" w14:paraId="60C8D10B" w14:textId="77777777" w:rsidTr="00EE0F0F">
        <w:tc>
          <w:tcPr>
            <w:tcW w:w="9810" w:type="dxa"/>
          </w:tcPr>
          <w:p w14:paraId="032D3FB9" w14:textId="77777777" w:rsidR="000009FE" w:rsidRPr="000009FE" w:rsidRDefault="000009FE">
            <w:pPr>
              <w:rPr>
                <w:b/>
                <w:bCs/>
              </w:rPr>
            </w:pPr>
            <w:r w:rsidRPr="000009FE">
              <w:rPr>
                <w:b/>
                <w:bCs/>
              </w:rPr>
              <w:t>Strumenti didattici utilizzati (Libri di testo in adozione, testi consigliati, dispense del docente, manuali tecnici, materiale per la didattica laboratoriale ecc.)</w:t>
            </w:r>
          </w:p>
          <w:p w14:paraId="79F25DFE" w14:textId="77777777" w:rsidR="000009FE" w:rsidRPr="000009FE" w:rsidRDefault="000009FE">
            <w:pPr>
              <w:rPr>
                <w:b/>
                <w:bCs/>
              </w:rPr>
            </w:pPr>
          </w:p>
          <w:p w14:paraId="620CC58C" w14:textId="77777777" w:rsidR="000009FE" w:rsidRPr="000009FE" w:rsidRDefault="000009FE">
            <w:pPr>
              <w:rPr>
                <w:b/>
                <w:bCs/>
              </w:rPr>
            </w:pPr>
          </w:p>
          <w:p w14:paraId="1F036866" w14:textId="77777777" w:rsidR="000009FE" w:rsidRDefault="000009FE">
            <w:r>
              <w:t xml:space="preserve">   </w:t>
            </w:r>
          </w:p>
        </w:tc>
      </w:tr>
    </w:tbl>
    <w:p w14:paraId="1308717C" w14:textId="77777777" w:rsidR="000009FE" w:rsidRDefault="000009FE"/>
    <w:p w14:paraId="45F65765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Attività di supporto ed integrazione. Iniziative di recupero</w:t>
      </w:r>
      <w:r w:rsidR="000009FE">
        <w:rPr>
          <w:b/>
        </w:rPr>
        <w:t xml:space="preserve"> e approfondimento.</w:t>
      </w:r>
      <w:r>
        <w:rPr>
          <w:b/>
        </w:rPr>
        <w:t xml:space="preserve"> </w:t>
      </w:r>
    </w:p>
    <w:p w14:paraId="1683A41F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533BF85A" w14:textId="77777777" w:rsidR="000009FE" w:rsidRDefault="000009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3EB36C49" w14:textId="77777777" w:rsidR="002B7553" w:rsidRDefault="002B7553"/>
    <w:p w14:paraId="044E1353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Eventuali altre attività (progetti specifici, forme di apprendimento di eccellenza per gruppi di allievi, sperimentazione di didattiche alternative, moduli specifici e strumenti compensativi per allievi DSA/BES/Disabili </w:t>
      </w:r>
    </w:p>
    <w:p w14:paraId="424812B8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62030631" w14:textId="77777777" w:rsidR="002B7553" w:rsidRDefault="002B7553"/>
    <w:p w14:paraId="29116E7A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14:paraId="1CC80EA5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pertinenza </w:t>
      </w:r>
    </w:p>
    <w:p w14:paraId="41E69EFE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476E41F3" w14:textId="77777777" w:rsidR="000009FE" w:rsidRDefault="000009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6BE4F2A6" w14:textId="77777777" w:rsidR="002B7553" w:rsidRDefault="002B7553"/>
    <w:p w14:paraId="493DAF4F" w14:textId="77777777" w:rsidR="000009FE" w:rsidRDefault="000009FE"/>
    <w:p w14:paraId="5E7B3DD8" w14:textId="7FB21C24" w:rsidR="002B7553" w:rsidRPr="005F0B04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5F0B04">
        <w:rPr>
          <w:b/>
        </w:rPr>
        <w:t xml:space="preserve">Sviluppo di contenuti inerenti l’insegnamento dell’Educazione Civica. </w:t>
      </w:r>
      <w:r w:rsidR="005F0B04" w:rsidRPr="005F0B04">
        <w:rPr>
          <w:b/>
        </w:rPr>
        <w:t xml:space="preserve">Tali contenuti andranno integrati, </w:t>
      </w:r>
      <w:r w:rsidR="005F0B04" w:rsidRPr="005F0B04">
        <w:rPr>
          <w:b/>
          <w:u w:val="single"/>
        </w:rPr>
        <w:t>per gli studenti del BIENNIO</w:t>
      </w:r>
      <w:r w:rsidR="005F0B04">
        <w:rPr>
          <w:b/>
        </w:rPr>
        <w:t xml:space="preserve">, </w:t>
      </w:r>
      <w:r w:rsidR="005F0B04" w:rsidRPr="005F0B04">
        <w:rPr>
          <w:b/>
        </w:rPr>
        <w:t xml:space="preserve">nell’ambito delle ore previste, anche con moduli di orientamento formativo degli studenti (eventualmente anche con attività extracurricolari) ai sensi di quanto previsto dal D.M. 63/2023.  </w:t>
      </w:r>
    </w:p>
    <w:p w14:paraId="390060A2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14:paraId="5E880689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  <w:r>
        <w:rPr>
          <w:b/>
        </w:rPr>
        <w:t>Monte ore dedicato______________</w:t>
      </w:r>
    </w:p>
    <w:p w14:paraId="236F8DE3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14:paraId="09A30852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14:paraId="4E82F6DF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14:paraId="1145B4FD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14:paraId="3A3CF792" w14:textId="77777777" w:rsidR="002B7553" w:rsidRDefault="002B7553"/>
    <w:p w14:paraId="5123F0B1" w14:textId="396672F3" w:rsidR="005511BD" w:rsidRDefault="005511BD" w:rsidP="005511B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  <w:proofErr w:type="spellStart"/>
      <w:r w:rsidRPr="005511BD">
        <w:rPr>
          <w:b/>
          <w:u w:val="single"/>
        </w:rPr>
        <w:t>CLassi</w:t>
      </w:r>
      <w:proofErr w:type="spellEnd"/>
      <w:r w:rsidRPr="005511BD">
        <w:rPr>
          <w:b/>
          <w:u w:val="single"/>
        </w:rPr>
        <w:t xml:space="preserve"> del </w:t>
      </w:r>
      <w:r w:rsidR="00EC4264">
        <w:rPr>
          <w:b/>
          <w:u w:val="single"/>
        </w:rPr>
        <w:t>TRIENNIO</w:t>
      </w:r>
      <w:r>
        <w:rPr>
          <w:b/>
        </w:rPr>
        <w:t xml:space="preserve">: indicazioni e individuazione di possibili aree di intervento per le attività di orientamento in orario curricolare (30 ore annuali per ogni classe del triennio) degli allievi per le classi III, IV e V nell’ambito di quanto previsto dal D.M. 63/2023, attraverso il coordinamento, gli accordi  ed il supporto dei docenti “tutor” e del docente “orientatore”.  </w:t>
      </w:r>
    </w:p>
    <w:p w14:paraId="6AD588A5" w14:textId="77777777" w:rsidR="005511BD" w:rsidRDefault="005511BD" w:rsidP="005511BD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</w:p>
    <w:p w14:paraId="1CE813AF" w14:textId="77777777" w:rsidR="005511BD" w:rsidRDefault="005511BD" w:rsidP="005511BD"/>
    <w:p w14:paraId="6C92A72A" w14:textId="77777777" w:rsidR="005511BD" w:rsidRDefault="005511BD"/>
    <w:p w14:paraId="4FF27594" w14:textId="77777777"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 </w:t>
      </w:r>
    </w:p>
    <w:p w14:paraId="23958AEE" w14:textId="77777777"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14:paraId="3AFF8FF9" w14:textId="77777777" w:rsidR="002B7553" w:rsidRDefault="002B7553"/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0009FE" w14:paraId="2C5BA883" w14:textId="77777777" w:rsidTr="00EE0F0F">
        <w:tc>
          <w:tcPr>
            <w:tcW w:w="9810" w:type="dxa"/>
          </w:tcPr>
          <w:p w14:paraId="7943102E" w14:textId="77777777" w:rsidR="000009FE" w:rsidRDefault="000009FE">
            <w:pPr>
              <w:rPr>
                <w:b/>
                <w:bCs/>
              </w:rPr>
            </w:pPr>
          </w:p>
          <w:p w14:paraId="1CD0B4EA" w14:textId="77777777" w:rsidR="000009FE" w:rsidRPr="000009FE" w:rsidRDefault="000009FE">
            <w:pPr>
              <w:rPr>
                <w:b/>
                <w:bCs/>
              </w:rPr>
            </w:pPr>
            <w:r w:rsidRPr="000009FE">
              <w:rPr>
                <w:b/>
                <w:bCs/>
              </w:rPr>
              <w:t>Eventuali ed ulteriori indicazioni</w:t>
            </w:r>
          </w:p>
          <w:p w14:paraId="0DB946C2" w14:textId="77777777" w:rsidR="000009FE" w:rsidRPr="000009FE" w:rsidRDefault="000009FE">
            <w:pPr>
              <w:rPr>
                <w:b/>
                <w:bCs/>
              </w:rPr>
            </w:pPr>
          </w:p>
          <w:p w14:paraId="17DC3A79" w14:textId="77777777" w:rsidR="000009FE" w:rsidRDefault="000009FE"/>
          <w:p w14:paraId="76BBFE0F" w14:textId="77777777" w:rsidR="000009FE" w:rsidRDefault="000009FE"/>
          <w:p w14:paraId="250E77F1" w14:textId="77777777" w:rsidR="000009FE" w:rsidRDefault="000009FE"/>
          <w:p w14:paraId="371C2102" w14:textId="77777777" w:rsidR="000009FE" w:rsidRDefault="000009FE"/>
          <w:p w14:paraId="4D2B1601" w14:textId="77777777" w:rsidR="000009FE" w:rsidRDefault="000009FE"/>
          <w:p w14:paraId="08F7FAC2" w14:textId="77777777" w:rsidR="000009FE" w:rsidRDefault="000009FE"/>
        </w:tc>
      </w:tr>
    </w:tbl>
    <w:p w14:paraId="535C80BB" w14:textId="77777777" w:rsidR="002B7553" w:rsidRDefault="002B7553"/>
    <w:p w14:paraId="1EC3694A" w14:textId="77777777" w:rsidR="002B7553" w:rsidRDefault="00DF0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14:paraId="49AB102D" w14:textId="77777777" w:rsidR="002B7553" w:rsidRDefault="00DF0AD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14:paraId="42987573" w14:textId="77777777" w:rsidR="002B7553" w:rsidRDefault="00DF0AD5">
      <w:pPr>
        <w:jc w:val="both"/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sectPr w:rsidR="002B7553" w:rsidSect="002B755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53"/>
    <w:rsid w:val="000009FE"/>
    <w:rsid w:val="002B7553"/>
    <w:rsid w:val="00366FF2"/>
    <w:rsid w:val="00413E88"/>
    <w:rsid w:val="004F2473"/>
    <w:rsid w:val="005511BD"/>
    <w:rsid w:val="005F0B04"/>
    <w:rsid w:val="007667A0"/>
    <w:rsid w:val="008F35DD"/>
    <w:rsid w:val="00DF0AD5"/>
    <w:rsid w:val="00E45957"/>
    <w:rsid w:val="00EC4264"/>
    <w:rsid w:val="00E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55F1"/>
  <w15:docId w15:val="{AE545A86-2A86-470E-AE70-13538C4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Mauro Tosi</cp:lastModifiedBy>
  <cp:revision>9</cp:revision>
  <dcterms:created xsi:type="dcterms:W3CDTF">2021-09-17T19:36:00Z</dcterms:created>
  <dcterms:modified xsi:type="dcterms:W3CDTF">2023-09-17T09:14:00Z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